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36"/>
        <w:gridCol w:w="2641"/>
        <w:gridCol w:w="7371"/>
      </w:tblGrid>
      <w:tr w:rsidR="009604DC" w:rsidRPr="009604DC" w:rsidTr="00E4078D">
        <w:trPr>
          <w:trHeight w:val="300"/>
        </w:trPr>
        <w:tc>
          <w:tcPr>
            <w:tcW w:w="103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04DC" w:rsidRDefault="009604DC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D13E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целях эксплуатации объект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3127" w:rsidRP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электросетевого хозяйства</w:t>
            </w:r>
            <w:r w:rsidR="009331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  <w:p w:rsidR="00D3168E" w:rsidRPr="009604DC" w:rsidRDefault="00D3168E" w:rsidP="00D1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E4078D">
        <w:trPr>
          <w:trHeight w:val="300"/>
        </w:trPr>
        <w:tc>
          <w:tcPr>
            <w:tcW w:w="103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04DC" w:rsidRPr="009604DC" w:rsidRDefault="009604DC" w:rsidP="00960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6974A6">
        <w:trPr>
          <w:trHeight w:val="10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уполномоченного органа, которым рассматривается ходатайство </w:t>
            </w:r>
          </w:p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государственным имуществом Волгоградской области (Облкомимущество)</w:t>
            </w:r>
          </w:p>
        </w:tc>
      </w:tr>
      <w:tr w:rsidR="009604DC" w:rsidRPr="009604DC" w:rsidTr="006974A6">
        <w:trPr>
          <w:trHeight w:val="60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установления публичного сервитута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04DC" w:rsidRPr="00A200E5" w:rsidRDefault="002A5D80" w:rsidP="00A200E5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ксплуатаци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электросетевого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70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хозяйства – </w:t>
            </w:r>
            <w:r w:rsidR="00485147" w:rsidRPr="004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Воздушная линия электропередачи ВЛ 110 кв №</w:t>
            </w:r>
            <w:r w:rsidR="00A200E5" w:rsidRPr="00A2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  <w:r w:rsidR="00485147" w:rsidRPr="004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7569" w:rsidRPr="004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протяжённостью</w:t>
            </w:r>
            <w:r w:rsidR="00485147" w:rsidRPr="004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00E5" w:rsidRP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485147" w:rsidRPr="00485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AC2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кадастровым номером </w:t>
            </w:r>
            <w:r w:rsidR="001F62AA" w:rsidRPr="001F62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</w:t>
            </w:r>
            <w:r w:rsidR="00A200E5" w:rsidRP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A200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:000000:2144</w:t>
            </w:r>
          </w:p>
        </w:tc>
      </w:tr>
      <w:tr w:rsidR="00CE1B73" w:rsidRPr="009604DC" w:rsidTr="006974A6">
        <w:trPr>
          <w:trHeight w:val="583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E1B73" w:rsidRPr="009604DC" w:rsidRDefault="00CE1B73" w:rsidP="00801A0A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D3074" w:rsidRDefault="002D3074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Публичный сервитут предполагается установить в отношении следующих земельных участков с кадастровыми номерами:</w:t>
            </w:r>
          </w:p>
          <w:p w:rsidR="00701E80" w:rsidRDefault="006974A6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F4473" w:rsidRPr="009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9F4473" w:rsidRPr="00960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Единое</w:t>
            </w:r>
            <w:r w:rsidR="009F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землепользование)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Pr="006974A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Волгоградская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4A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область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974A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Камышинский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74A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район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974A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п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74A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Мичуринский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974A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ул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6974A6">
              <w:rPr>
                <w:rFonts w:ascii="Times New Roman" w:eastAsia="Times New Roman" w:hAnsi="Times New Roman" w:cs="Times New Roman" w:hint="eastAsia"/>
                <w:color w:val="000000"/>
                <w:sz w:val="24"/>
                <w:szCs w:val="24"/>
                <w:lang w:eastAsia="ru-RU"/>
              </w:rPr>
              <w:t>Справедливая</w:t>
            </w: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4473" w:rsidRDefault="006974A6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34:10:060002:1103</w:t>
            </w:r>
            <w:r w:rsidR="009F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 w:rsidR="009F4473">
              <w:t xml:space="preserve"> </w:t>
            </w:r>
            <w:r w:rsidR="009F4473" w:rsidRPr="009F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9F4473" w:rsidRPr="009F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Камышинский, СПК "Красный Октябрь"</w:t>
            </w:r>
            <w:r w:rsidR="009F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4473" w:rsidRPr="00410CB7" w:rsidRDefault="009F447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34:10:060002:538</w:t>
            </w:r>
            <w:r w:rsidRPr="009F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9F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севернее х. Карпунин,</w:t>
            </w:r>
          </w:p>
          <w:p w:rsidR="009F4473" w:rsidRPr="00410CB7" w:rsidRDefault="009F447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34:10:060002:534, по адресу:</w:t>
            </w:r>
            <w:r w:rsidR="00062E53" w:rsidRPr="00410CB7">
              <w:rPr>
                <w:color w:val="000000" w:themeColor="text1"/>
              </w:rPr>
              <w:t xml:space="preserve"> </w:t>
            </w:r>
            <w:r w:rsidR="00CF7613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Камышинский</w:t>
            </w:r>
            <w:r w:rsidR="00062E53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севернее с. Средняя Камышинка,</w:t>
            </w:r>
          </w:p>
          <w:p w:rsidR="006974A6" w:rsidRPr="00410CB7" w:rsidRDefault="006974A6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34:10:000000:2</w:t>
            </w:r>
            <w:r w:rsidR="009F4473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(Единое землепользование)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 адресу: </w:t>
            </w:r>
            <w:r w:rsidRPr="00410CB7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ru-RU"/>
              </w:rPr>
              <w:t>Волгоградская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0CB7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ru-RU"/>
              </w:rPr>
              <w:t>область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410CB7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ru-RU"/>
              </w:rPr>
              <w:t>Камышинский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10CB7">
              <w:rPr>
                <w:rFonts w:ascii="Times New Roman" w:eastAsia="Times New Roman" w:hAnsi="Times New Roman" w:cs="Times New Roman" w:hint="eastAsia"/>
                <w:color w:val="000000" w:themeColor="text1"/>
                <w:sz w:val="24"/>
                <w:szCs w:val="24"/>
                <w:lang w:eastAsia="ru-RU"/>
              </w:rPr>
              <w:t>район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974A6" w:rsidRPr="00410CB7" w:rsidRDefault="006974A6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34:10:060002:1052 </w:t>
            </w:r>
            <w:r w:rsidR="009F4473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2D3074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по адресу: обл. Волгоградская, р-н Камышинский, территория Лебяженского сельского поселения, </w:t>
            </w:r>
          </w:p>
          <w:p w:rsidR="006974A6" w:rsidRPr="00410CB7" w:rsidRDefault="006974A6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34:10:000000:135</w:t>
            </w:r>
            <w:r w:rsidR="009F4473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(Единое землепользование)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по адресу: </w:t>
            </w:r>
            <w:r w:rsidR="00E67569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обл. Волгоградская, р-н Камышинский, СПК "Красный Октябрь",</w:t>
            </w:r>
          </w:p>
          <w:p w:rsidR="00062E53" w:rsidRPr="00410CB7" w:rsidRDefault="00062E5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34:10:000000:16 (Единое землепользование), по адресу: </w:t>
            </w:r>
            <w:r w:rsidR="00E55CC6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обл. Волгоградская, р-н Камышинский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2E53" w:rsidRPr="00410CB7" w:rsidRDefault="00062E5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34:10:000000:15 (Единое землепользование), по адресу: </w:t>
            </w:r>
            <w:r w:rsidR="00E55CC6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обл. Волгоградская, р-н Камышинский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062E53" w:rsidRPr="00410CB7" w:rsidRDefault="00062E5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34:10:060002:820, по адресу: обл. Волгоградская, р-н Камышинский, севернее х. Карпунин,</w:t>
            </w:r>
          </w:p>
          <w:p w:rsidR="006974A6" w:rsidRPr="00410CB7" w:rsidRDefault="00062E5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34:10:060002:784, по адресу:</w:t>
            </w:r>
            <w:r w:rsidRPr="00410CB7">
              <w:rPr>
                <w:color w:val="000000" w:themeColor="text1"/>
              </w:rPr>
              <w:t xml:space="preserve"> 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обл. Волгоградская, р-н Камышинский, х. Грязнуха. Участок находится примерно в 3,7 км, по направлению на юг от ориентира: </w:t>
            </w:r>
            <w:r w:rsidR="002E485D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населённый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пункт,</w:t>
            </w:r>
          </w:p>
          <w:p w:rsidR="00062E53" w:rsidRPr="00410CB7" w:rsidRDefault="00062E5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34:10:060002:1</w:t>
            </w:r>
            <w:r w:rsidR="00F43C00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344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2D3074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F43C00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CF7613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адресу: Волгоградская область, р-н Камышинский, примерно 1 км на юго-запад от х. Грязнуха</w:t>
            </w:r>
            <w:r w:rsidR="00E67569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F43C00" w:rsidRPr="00410CB7" w:rsidRDefault="00F43C00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34:10:060002:182, по адресу: обл. Волгоградская, р-н Камышинский, на территории Лебяженского сельского совета,</w:t>
            </w:r>
          </w:p>
          <w:p w:rsidR="00F43C00" w:rsidRPr="00410CB7" w:rsidRDefault="00F43C00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34:10:060002:326 (Единое землепользование), по адресу:</w:t>
            </w:r>
            <w:r w:rsidR="00E67569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обл. Волгоградская, р-н Камышинский, на западной окраине </w:t>
            </w:r>
            <w:r w:rsidR="00E67569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Средняя Камышинка,</w:t>
            </w:r>
          </w:p>
          <w:p w:rsidR="00F43C00" w:rsidRPr="00410CB7" w:rsidRDefault="008C1F6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34:10:060002:823, по адресу:</w:t>
            </w:r>
            <w:r w:rsidRPr="00410CB7">
              <w:rPr>
                <w:color w:val="000000" w:themeColor="text1"/>
              </w:rPr>
              <w:t xml:space="preserve"> 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обл. Волгоградская, р-н Камышинский, х. Грязнуха. Участок находится примерно в 2 км, по направлению </w:t>
            </w:r>
            <w:r w:rsidR="00E67569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юг от ориентира: х. Грязнуха,</w:t>
            </w:r>
          </w:p>
          <w:p w:rsidR="008C1F6D" w:rsidRPr="00410CB7" w:rsidRDefault="008C1F6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34:10:000000:205 (Единое землепользование), по адресу:</w:t>
            </w:r>
            <w:r w:rsidRPr="00410CB7">
              <w:rPr>
                <w:color w:val="000000" w:themeColor="text1"/>
              </w:rPr>
              <w:t xml:space="preserve"> 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область, р-н. Камышинский, г. Петров Вал,</w:t>
            </w:r>
          </w:p>
          <w:p w:rsidR="00F43C00" w:rsidRPr="00410CB7" w:rsidRDefault="008C1F6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34:10:160001:195, по адресу:  обл. Волгоградская, р-н Камышинский, севернее х. Поповка,</w:t>
            </w:r>
          </w:p>
          <w:p w:rsidR="008C1F6D" w:rsidRDefault="008C1F6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34:10:160001:223,</w:t>
            </w:r>
            <w:r w:rsidRPr="008C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Поповка.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4,5 км, по направлению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северо-запад от ориентира. Почтовый адрес ориентира: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Волгоградская область, р-н. Камышинский, х.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Ионов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35C5C" w:rsidRDefault="008C1F6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34:10:160001:259</w:t>
            </w:r>
            <w:r w:rsidRPr="008C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с. Вихлянцево.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5 км, по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35C5C" w:rsidRP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 на северо-запад от ориентира. Почтовый адрес ориентира: Волгоградская область, р-н.</w:t>
            </w:r>
            <w:r w:rsidR="00E35C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Камышинский, х. Ионов,</w:t>
            </w:r>
          </w:p>
          <w:p w:rsidR="00C41EC0" w:rsidRPr="00C41EC0" w:rsidRDefault="00990257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34:10:160001:281</w:t>
            </w:r>
            <w:r w:rsidR="008C1F6D" w:rsidRPr="008C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 с. Вихлянцево. Участок находится примерно в 3,7 км,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на юго-запад от ориентира. Почтовый</w:t>
            </w:r>
          </w:p>
          <w:p w:rsidR="008C1F6D" w:rsidRDefault="00C41EC0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 ориентира: обл. Волгоградская, р-н Камышинский,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Вихлянцево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257" w:rsidRDefault="00990257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34:10:160001:285</w:t>
            </w:r>
            <w:r w:rsidRPr="008C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Pr="0099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</w:t>
            </w:r>
            <w:r w:rsid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 Камышинский, х. 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257" w:rsidRDefault="00990257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34:10:160001:310</w:t>
            </w:r>
            <w:r w:rsidRPr="008C1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х.</w:t>
            </w:r>
            <w:r w:rsid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Поповка.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находится примерно в 4,2 км,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на северо-запад от ориентира. Почтовый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41EC0" w:rsidRPr="00C41E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ориентира: обл. Волгоградская, р-н Камышинский, х. Поповка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90257" w:rsidRDefault="00990257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160001:374</w:t>
            </w:r>
            <w:r w:rsidRPr="0099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99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Pr="0099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р-н. Камышинский, х. Поповка. Участок находится примерно в 4,2 км., по направлению на северо-запад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902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ориентира: обл. Волгоградская, р-н Камышинский, х. Поповка</w:t>
            </w:r>
            <w:r w:rsid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485D" w:rsidRDefault="002E485D" w:rsidP="00E67569">
            <w:pPr>
              <w:spacing w:after="0" w:line="223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34:10:160001:383</w:t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</w:p>
          <w:p w:rsidR="002E485D" w:rsidRDefault="002E485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х. Поповка, примерно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4,7 км северо-восточнее, 4,1 км юго-западнее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485D" w:rsidRDefault="002E485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34:10:160001:597</w:t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 обл. Волгоградская, р-н Камышинский, примерно в 4,1 км. на северо-запад от х. Поповка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485D" w:rsidRDefault="002E485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34:10:000000:40</w:t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(Единое землепользование), по адресу:</w:t>
            </w:r>
            <w:r>
              <w:t xml:space="preserve"> </w:t>
            </w:r>
            <w:r w:rsidR="00E67569">
              <w:br/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СПК "Вихлянцевский"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485D" w:rsidRDefault="002E485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34:10:160002:94</w:t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с. Вихлянцево.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7,2 км, по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направлению на юго-запад от ориентира. Почтовый адрес ориентира: Волгоградская область, 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Камышинский, х. 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485D" w:rsidRDefault="002E485D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34:10:160002:90</w:t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с. Вихлянцево.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7 км, по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направлению на юго-запад от ориентира. Почтовый адрес ориентира: Волгоградская область, </w:t>
            </w:r>
            <w:r w:rsid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4852" w:rsidRPr="00CC48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Камышинский, х. Ионов.</w:t>
            </w:r>
            <w:r w:rsid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2E485D" w:rsidRDefault="00ED796A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34:10:160002:113</w:t>
            </w:r>
            <w:r w:rsidRPr="002E4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с.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Вихлянцево.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находится примерно в 5,5 км,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на юго-запад от ориентира. Почтовый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ориентира: обл. Волгоградская, р-н Камышинский, с. Вихлянцево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796A" w:rsidRDefault="00ED796A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34:10:160002:78</w:t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с.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Вихлянцево.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находится примерно в 10 км,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на юго-запад от ориентира. Почтовый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ориентира: обл. Волгоградская, р-н Камышинский, с. Вихлянцево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796A" w:rsidRDefault="00ED796A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34:10:130002:104</w:t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 Камышинский,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796A" w:rsidRDefault="00ED796A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34:10:130002:11</w:t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 по адресу: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Местоположение установлено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относительно ориентира, расположенного за пределами участка.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с. Антиповка.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3,0 км, по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направлению на запад 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ориентира. Почтовый адрес ориентира: Волгоградская область,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р-н.</w:t>
            </w:r>
            <w:r w:rsid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7695" w:rsidRPr="00497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Камышинский, с. Антиповка.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796A" w:rsidRDefault="00ED796A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34:10:130002:1384</w:t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обл. Волгоградская,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Камышинский, юго-западнее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796A" w:rsidRDefault="00ED796A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34:10:000000:208</w:t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(Единое землепользование),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на территории Камышинского района в пределах территории администрации Антиповского сельсовета</w:t>
            </w:r>
            <w:r w:rsid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0E2" w:rsidRDefault="001600E2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34:10:130002:184</w:t>
            </w:r>
            <w:r w:rsidRP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 Камышинский,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0E2" w:rsidRDefault="001600E2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34:10:000000:38</w:t>
            </w:r>
            <w:r w:rsidRPr="00ED7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(Единое землепользование), по адресу:</w:t>
            </w:r>
            <w:r>
              <w:t xml:space="preserve"> </w:t>
            </w:r>
            <w:r w:rsidR="00E67569">
              <w:br/>
            </w:r>
            <w:r w:rsidRP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СПК "Пионер"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3F51" w:rsidRDefault="003E3F51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</w:t>
            </w:r>
            <w:r w:rsid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1879</w:t>
            </w:r>
            <w:r w:rsidRPr="003E3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 с.</w:t>
            </w:r>
            <w:r w:rsid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Антиповка.</w:t>
            </w:r>
            <w:r w:rsid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находится примерно в 9,0 км,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на северо-запад от ориентира.</w:t>
            </w:r>
            <w:r w:rsid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ориентира: обл. Волгоградская, р-н Камышинский, с.</w:t>
            </w:r>
            <w:r w:rsid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Антиповка,</w:t>
            </w:r>
          </w:p>
          <w:p w:rsidR="003E3F51" w:rsidRDefault="00177914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34:10:130002:1944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с. Антиповка.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6,2 км,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 на северо-запад от ориентира. Почтовый адрес ориентира: Волгоградская область, р-н.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Камышинский,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E3F51" w:rsidRDefault="00177914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34:10:130002:1960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с. Антиповка.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5,5 км,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 на юго-запад от ориентира. Почтовый адрес ориентира: Волгоградская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Камышинский, с. Антиповка,</w:t>
            </w:r>
          </w:p>
          <w:p w:rsidR="00177914" w:rsidRDefault="00C64AE1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34:10:130002:1971</w:t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 адресу: </w:t>
            </w:r>
            <w:r w:rsid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177914" w:rsidRPr="00177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 Камышинский,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1600E2" w:rsidRPr="001600E2" w:rsidRDefault="001600E2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130002:2111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</w:p>
          <w:p w:rsidR="001600E2" w:rsidRDefault="00552BDB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с. Антиповка.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4 км, по направлению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юго-запад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ориентира. Почтовый адрес ориентира: Волгоградская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обл, Камышинский р-н, примерно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км. по направлению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юго-запад от с. А</w:t>
            </w:r>
            <w:bookmarkStart w:id="0" w:name="_GoBack"/>
            <w:bookmarkEnd w:id="0"/>
            <w:r w:rsidRPr="00552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нтиповка.</w:t>
            </w:r>
            <w:r w:rsid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038ED" w:rsidRDefault="001600E2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34:10:130002:2155</w:t>
            </w:r>
            <w:r w:rsidRPr="00160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="009038ED" w:rsidRP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 установлено относительно ориентира, расположенного за пределами участка.</w:t>
            </w:r>
            <w:r w:rsid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8ED" w:rsidRP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</w:t>
            </w:r>
            <w:r w:rsid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8ED" w:rsidRP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с. Антиповка.</w:t>
            </w:r>
            <w:r w:rsid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8ED" w:rsidRP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находится примерно в 6,9 км., по</w:t>
            </w:r>
            <w:r w:rsid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8ED" w:rsidRP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 на северо-запад от ориентира. Почтовый адрес ориентира: Волгоградская область, р-н.</w:t>
            </w:r>
            <w:r w:rsid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038ED" w:rsidRP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Камышинский,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600E2" w:rsidRDefault="00F945DF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34:10:130002:2384</w:t>
            </w:r>
            <w:r w:rsidRPr="00F9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 адресу:</w:t>
            </w:r>
            <w:r>
              <w:t xml:space="preserve"> </w:t>
            </w:r>
            <w:r w:rsidRPr="00F9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 Камышинский, 2,4 км юго-западнее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45DF" w:rsidRPr="00410CB7" w:rsidRDefault="00F945DF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130002:2410, по адресу:</w:t>
            </w:r>
            <w:r w:rsidRPr="00410CB7">
              <w:rPr>
                <w:color w:val="000000" w:themeColor="text1"/>
              </w:rPr>
              <w:t xml:space="preserve"> 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р-н Камышинский, примерно в 4.5 км на северо-запад от с. Антиповка,</w:t>
            </w:r>
          </w:p>
          <w:p w:rsidR="00F945DF" w:rsidRPr="00410CB7" w:rsidRDefault="00F945DF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34:10:130002:2419 (</w:t>
            </w:r>
            <w:r w:rsidR="002D3074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), по адресу: 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р-н Камышинский, 1,8 км юго-западнее села Антиповка,</w:t>
            </w:r>
          </w:p>
          <w:p w:rsidR="00F945DF" w:rsidRPr="00410CB7" w:rsidRDefault="00F945DF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34:10:000000:201 (Единое землепользование), по адресу: Волгоградская область, р-н Камышинский, г. Петров Вал,</w:t>
            </w:r>
          </w:p>
          <w:p w:rsidR="00F945DF" w:rsidRDefault="00F945DF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34:10:000000:25</w:t>
            </w:r>
            <w:r w:rsidRPr="00F9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(Единое землепользование), по адресу:</w:t>
            </w: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9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обл. Волгоградская, р-н Камышинский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945DF" w:rsidRPr="00410CB7" w:rsidRDefault="00B8362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000000:3379</w:t>
            </w: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Волгоградская обл., Камышинский р-н, Камышинское сельское участковое лесничество, бывший колхоз Красный Октябрь, части 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кварталов Кр2, Кр3, Кр4, Кр5,</w:t>
            </w:r>
          </w:p>
          <w:p w:rsidR="00B83623" w:rsidRDefault="00B8362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34:10:000000:3315 (</w:t>
            </w:r>
            <w:r w:rsidR="002D3074"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), по адресу:</w:t>
            </w:r>
            <w:r w:rsidRPr="00410CB7">
              <w:rPr>
                <w:color w:val="000000" w:themeColor="text1"/>
              </w:rPr>
              <w:t xml:space="preserve"> </w:t>
            </w:r>
            <w:r w:rsidRPr="00410C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Волгоградская обл., р-н Камышинский, с Лебяжье, установлено относительно ориентира, расположенного за пределами участка. Ориентир обл. Волгоградская, р-н Камышинский, с. Лебяжье. Участок находится</w:t>
            </w: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примерно в 7,0 км от ориентира по </w:t>
            </w:r>
            <w:r w:rsidR="009038ED"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03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аправлению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северо-восток,</w:t>
            </w:r>
          </w:p>
          <w:p w:rsidR="00B83623" w:rsidRPr="00B83623" w:rsidRDefault="00B8362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34:10:000000:3356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3623" w:rsidRDefault="00B83623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в 0,5 км на юго-запад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2,0 км на юг от с. Средняя Камышинка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3A35" w:rsidRDefault="009F3A35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34:10:000000:3381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="00B83623" w:rsidRPr="00B83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 w:rsidR="00E67569" w:rsidRPr="00EF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обл., Камышинский р-н, Камышинское лесничество, Верхне-Липовское участковое лесничество, части кварталов 87, 90, 110, 111, 112, 114, 116, 117, 118,119,120,121,123,125,128, квартал 115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34:10:000000:3354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 w:rsidRPr="00EF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Волгоградская, р-н Камышинский, в 4,5 км на юго-запад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3A35" w:rsidRDefault="009F3A35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34:10:000000:3385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 w:rsidRPr="00EF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западнее с. Антиповка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F23AB" w:rsidRDefault="004F23AB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34:10:000000:2540, по адресу:</w:t>
            </w:r>
            <w:r w:rsidRPr="00EF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F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F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р-н. Камышинский, с. Лебяжье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3A35" w:rsidRPr="009F3A35" w:rsidRDefault="009F3A35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34:10:000000:3338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</w:p>
          <w:p w:rsidR="009F3A35" w:rsidRDefault="009F3A35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обл., Камышинский р-н, Камышинское лесничество, Верхне-Липовское участковое лесничество,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кварталов 19, 20, 37, 40, 48, 56, 57, 58, 59, 63, 64, 67, 74, 76, 77, 78, 110, 121, 123, 125, 126, 127, 148, 164, 168, 170, 172, 175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3A35" w:rsidRDefault="009F3A35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34:10:000000:3375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>
              <w:t xml:space="preserve"> 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Волгоградская, р-н Камышинский, Камышинское лесничество, Верхне-Липовское участковое лесничество, части кварталов 129,130,147,150-152,156,157,159-161,164,165,166,167,168,169,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171,173,174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F3A35" w:rsidRDefault="009F3A35" w:rsidP="00E67569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34:10:000000:337</w:t>
            </w:r>
            <w:r w:rsidR="004F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2D3074" w:rsidRPr="002D3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многоконтурный земельный участок</w:t>
            </w:r>
            <w:r w:rsidRPr="009F3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по адресу:</w:t>
            </w:r>
            <w:r w:rsidR="004F23AB">
              <w:t xml:space="preserve"> </w:t>
            </w:r>
            <w:r w:rsidR="004F23AB" w:rsidRPr="004F2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обл., Камышинский р-н, Камышинское лесничество, Камышинское сельское участковое лесничество, бывший совхоз Вихлянцевский, части кварталов П1-П3</w:t>
            </w:r>
          </w:p>
          <w:p w:rsidR="004F23AB" w:rsidRPr="006974A6" w:rsidRDefault="004F23AB" w:rsidP="004F23AB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4DC" w:rsidRPr="009604DC" w:rsidTr="006974A6">
        <w:trPr>
          <w:trHeight w:val="4665"/>
        </w:trPr>
        <w:tc>
          <w:tcPr>
            <w:tcW w:w="3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Адрес, по которому заинтересованные лица могут ознакомиться </w:t>
            </w:r>
          </w:p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</w:p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установлении публичного сервитута </w:t>
            </w:r>
          </w:p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прилагаемым к нему описанием местоположения границ публичного сервитута, подать заявление </w:t>
            </w:r>
          </w:p>
          <w:p w:rsidR="00E4078D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учете прав на земельные участки, </w:t>
            </w:r>
          </w:p>
          <w:p w:rsidR="009604DC" w:rsidRPr="009604DC" w:rsidRDefault="009604DC" w:rsidP="00E4078D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также срок подачи указанных заявлений, время приема заинтересованных лиц для ознакомления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поступившим ходатайством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9604DC" w:rsidP="00E67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Заинтересованные лица могут ознакомиться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поступившим ходатайством об установлении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прилагаемым к нему описанием местоположения границ публичн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сервитут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Облкомимуществе по адресу: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Волгоград, </w:t>
            </w:r>
            <w:r w:rsidR="00D87DCF" w:rsidRP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Новороссийская, д. 15, каб.</w:t>
            </w:r>
            <w:r w:rsidR="00D87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508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67569"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</w:t>
            </w:r>
            <w:r w:rsidR="00E67569"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время: понедельник-четверг (8.00-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12.00, 12.48-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тел. 35-28-22,</w:t>
            </w:r>
            <w:r w:rsidR="00E407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35-28-16.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Правообладатели земельных участков, в отношении которых испрашивается публичный сервитут, если их права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зарегистрированы в Едином государственном реестре недвижимости, могут подать заявления </w:t>
            </w:r>
            <w:r w:rsidR="00281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Облкомимущество 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 </w:t>
            </w:r>
            <w:r w:rsidR="00E67569"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учёте</w:t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их прав (обременения прав) </w:t>
            </w:r>
            <w:r w:rsidR="00E6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земельные участки с приложением копий документов, подтверждающих эти права (обременения прав), в течение 30 дней со дня опубликования данного сообщения</w:t>
            </w:r>
            <w:r w:rsidR="00C935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C9355F">
              <w:rPr>
                <w:rFonts w:ascii="Times New Roman" w:hAnsi="Times New Roman" w:cs="Times New Roman"/>
                <w:sz w:val="24"/>
                <w:szCs w:val="24"/>
              </w:rPr>
      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 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      </w:r>
          </w:p>
        </w:tc>
      </w:tr>
      <w:tr w:rsidR="009604DC" w:rsidRPr="009604DC" w:rsidTr="006974A6">
        <w:trPr>
          <w:trHeight w:val="499"/>
        </w:trPr>
        <w:tc>
          <w:tcPr>
            <w:tcW w:w="3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4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04DC" w:rsidRPr="00C03147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Официальные сайты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 информационно-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04DC" w:rsidRPr="009604DC" w:rsidRDefault="00C9355F" w:rsidP="00281EBC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r w:rsidRPr="00C9355F"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  <w:t>http://gosim.volgograd.ru/adv-menu-uzo/</w:t>
            </w:r>
          </w:p>
        </w:tc>
      </w:tr>
      <w:tr w:rsidR="009604DC" w:rsidRPr="009604DC" w:rsidTr="006974A6">
        <w:trPr>
          <w:trHeight w:val="1386"/>
        </w:trPr>
        <w:tc>
          <w:tcPr>
            <w:tcW w:w="3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04DC" w:rsidRPr="009604DC" w:rsidRDefault="009604DC" w:rsidP="00281EB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078D" w:rsidRDefault="00D87DCF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телекоммуникационной сети 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"</w:t>
            </w:r>
            <w:r w:rsidR="009604D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</w:t>
            </w:r>
          </w:p>
          <w:p w:rsidR="009604DC" w:rsidRPr="00C03147" w:rsidRDefault="009604DC" w:rsidP="00E4078D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 которых размещается сообщение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о поступившем ходатайстве </w:t>
            </w:r>
            <w:r w:rsidR="00281EBC"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br/>
            </w:r>
            <w:r w:rsidRPr="00C03147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об установлении публичного сервитута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78DA" w:rsidRPr="001078DA" w:rsidRDefault="00E8073C" w:rsidP="001078DA">
            <w:pPr>
              <w:spacing w:after="0" w:line="216" w:lineRule="auto"/>
            </w:pPr>
            <w:r w:rsidRPr="00E8073C">
              <w:t xml:space="preserve">https://rakams.ru/administration/imushestvo/zemelnye-otnosheniya </w:t>
            </w:r>
            <w:r w:rsidR="001078DA">
              <w:t>http://лебяженское-сп.рф</w:t>
            </w:r>
            <w:r>
              <w:t>/</w:t>
            </w:r>
            <w:r w:rsidRPr="00E8073C">
              <w:t>деятельность/новости</w:t>
            </w:r>
          </w:p>
          <w:p w:rsidR="001078DA" w:rsidRPr="00960EED" w:rsidRDefault="001078DA" w:rsidP="00960EED">
            <w:pPr>
              <w:spacing w:after="0" w:line="216" w:lineRule="auto"/>
            </w:pPr>
            <w:r>
              <w:t>https://belogorskoe-sp.ru/category/novosti/</w:t>
            </w:r>
          </w:p>
          <w:p w:rsidR="00F408DE" w:rsidRPr="00960EED" w:rsidRDefault="00410CB7" w:rsidP="00960EED">
            <w:pPr>
              <w:spacing w:after="0" w:line="216" w:lineRule="auto"/>
            </w:pPr>
            <w:hyperlink r:id="rId8" w:history="1">
              <w:r w:rsidR="00960EED" w:rsidRPr="00960EED">
                <w:t>https://antipovskoe-adm.ru</w:t>
              </w:r>
            </w:hyperlink>
            <w:r w:rsidR="00E8073C" w:rsidRPr="00E8073C">
              <w:t>/category/novosti/</w:t>
            </w:r>
          </w:p>
          <w:p w:rsidR="0037679A" w:rsidRDefault="00410CB7" w:rsidP="0037679A">
            <w:pPr>
              <w:spacing w:after="0" w:line="223" w:lineRule="auto"/>
              <w:jc w:val="both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history="1">
              <w:r w:rsidR="0037679A">
                <w:rPr>
                  <w:rStyle w:val="a3"/>
                </w:rPr>
                <w:t>http://admpwal.ru/</w:t>
              </w:r>
            </w:hyperlink>
            <w:r w:rsidR="003808D0" w:rsidRPr="003808D0">
              <w:rPr>
                <w:rStyle w:val="a3"/>
              </w:rPr>
              <w:t>zemelnye-otnosheniya.html</w:t>
            </w:r>
          </w:p>
          <w:p w:rsidR="0037679A" w:rsidRPr="00960EED" w:rsidRDefault="0037679A" w:rsidP="00960EED">
            <w:pPr>
              <w:spacing w:after="0" w:line="216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p w:rsidR="00EA6C39" w:rsidRDefault="00EA6C39" w:rsidP="00281EBC">
      <w:pPr>
        <w:spacing w:line="223" w:lineRule="auto"/>
        <w:jc w:val="both"/>
      </w:pPr>
    </w:p>
    <w:sectPr w:rsidR="00EA6C39" w:rsidSect="00D3168E">
      <w:headerReference w:type="default" r:id="rId10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B1" w:rsidRDefault="00F30EB1" w:rsidP="001F11EF">
      <w:pPr>
        <w:spacing w:after="0" w:line="240" w:lineRule="auto"/>
      </w:pPr>
      <w:r>
        <w:separator/>
      </w:r>
    </w:p>
  </w:endnote>
  <w:endnote w:type="continuationSeparator" w:id="0">
    <w:p w:rsidR="00F30EB1" w:rsidRDefault="00F30EB1" w:rsidP="001F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B1" w:rsidRDefault="00F30EB1" w:rsidP="001F11EF">
      <w:pPr>
        <w:spacing w:after="0" w:line="240" w:lineRule="auto"/>
      </w:pPr>
      <w:r>
        <w:separator/>
      </w:r>
    </w:p>
  </w:footnote>
  <w:footnote w:type="continuationSeparator" w:id="0">
    <w:p w:rsidR="00F30EB1" w:rsidRDefault="00F30EB1" w:rsidP="001F1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1970456"/>
      <w:docPartObj>
        <w:docPartGallery w:val="Page Numbers (Top of Page)"/>
        <w:docPartUnique/>
      </w:docPartObj>
    </w:sdtPr>
    <w:sdtEndPr/>
    <w:sdtContent>
      <w:p w:rsidR="00F30EB1" w:rsidRDefault="00F30EB1">
        <w:pPr>
          <w:pStyle w:val="a5"/>
          <w:jc w:val="center"/>
        </w:pPr>
        <w:r w:rsidRPr="001F11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11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0CB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F11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EB1" w:rsidRDefault="00F30E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5279"/>
    <w:rsid w:val="00005694"/>
    <w:rsid w:val="00027A06"/>
    <w:rsid w:val="00062E53"/>
    <w:rsid w:val="001078DA"/>
    <w:rsid w:val="001207DE"/>
    <w:rsid w:val="00140E56"/>
    <w:rsid w:val="001600E2"/>
    <w:rsid w:val="00177914"/>
    <w:rsid w:val="00187F0F"/>
    <w:rsid w:val="001B01ED"/>
    <w:rsid w:val="001C6165"/>
    <w:rsid w:val="001F11EF"/>
    <w:rsid w:val="001F62AA"/>
    <w:rsid w:val="002015BC"/>
    <w:rsid w:val="00205CC7"/>
    <w:rsid w:val="002164C8"/>
    <w:rsid w:val="00216A3A"/>
    <w:rsid w:val="002262C7"/>
    <w:rsid w:val="0024400C"/>
    <w:rsid w:val="002677DF"/>
    <w:rsid w:val="00272A83"/>
    <w:rsid w:val="00280423"/>
    <w:rsid w:val="00281EBC"/>
    <w:rsid w:val="002942F3"/>
    <w:rsid w:val="002A5D80"/>
    <w:rsid w:val="002B6EE7"/>
    <w:rsid w:val="002C347D"/>
    <w:rsid w:val="002D3074"/>
    <w:rsid w:val="002E485D"/>
    <w:rsid w:val="0031353D"/>
    <w:rsid w:val="00331C29"/>
    <w:rsid w:val="00336716"/>
    <w:rsid w:val="0036246D"/>
    <w:rsid w:val="00370447"/>
    <w:rsid w:val="0037679A"/>
    <w:rsid w:val="003808D0"/>
    <w:rsid w:val="003A7336"/>
    <w:rsid w:val="003E3F51"/>
    <w:rsid w:val="003F5299"/>
    <w:rsid w:val="003F78DA"/>
    <w:rsid w:val="004074D5"/>
    <w:rsid w:val="00410CB7"/>
    <w:rsid w:val="00421358"/>
    <w:rsid w:val="00485147"/>
    <w:rsid w:val="00497695"/>
    <w:rsid w:val="004D77E5"/>
    <w:rsid w:val="004F23AB"/>
    <w:rsid w:val="004F3C94"/>
    <w:rsid w:val="0050007F"/>
    <w:rsid w:val="00534142"/>
    <w:rsid w:val="00552BDB"/>
    <w:rsid w:val="00564ACC"/>
    <w:rsid w:val="005765B3"/>
    <w:rsid w:val="005F21CA"/>
    <w:rsid w:val="0062700A"/>
    <w:rsid w:val="0063407F"/>
    <w:rsid w:val="00637680"/>
    <w:rsid w:val="00645D4B"/>
    <w:rsid w:val="006626AC"/>
    <w:rsid w:val="00664A2D"/>
    <w:rsid w:val="006974A6"/>
    <w:rsid w:val="006A050D"/>
    <w:rsid w:val="006B6829"/>
    <w:rsid w:val="00701E80"/>
    <w:rsid w:val="007130E9"/>
    <w:rsid w:val="00716245"/>
    <w:rsid w:val="00732012"/>
    <w:rsid w:val="007E15C2"/>
    <w:rsid w:val="007E2FEC"/>
    <w:rsid w:val="007F23A7"/>
    <w:rsid w:val="00801A0A"/>
    <w:rsid w:val="00820875"/>
    <w:rsid w:val="0087453E"/>
    <w:rsid w:val="008B33CA"/>
    <w:rsid w:val="008B7737"/>
    <w:rsid w:val="008C1F6D"/>
    <w:rsid w:val="008C3C38"/>
    <w:rsid w:val="008D3E80"/>
    <w:rsid w:val="009038ED"/>
    <w:rsid w:val="00907A8B"/>
    <w:rsid w:val="00912117"/>
    <w:rsid w:val="00933127"/>
    <w:rsid w:val="00934313"/>
    <w:rsid w:val="009604DC"/>
    <w:rsid w:val="00960EED"/>
    <w:rsid w:val="0097197E"/>
    <w:rsid w:val="00987B24"/>
    <w:rsid w:val="00990257"/>
    <w:rsid w:val="009A0DEE"/>
    <w:rsid w:val="009C28D8"/>
    <w:rsid w:val="009F3A35"/>
    <w:rsid w:val="009F4473"/>
    <w:rsid w:val="00A200E5"/>
    <w:rsid w:val="00A61048"/>
    <w:rsid w:val="00A7475E"/>
    <w:rsid w:val="00A973D3"/>
    <w:rsid w:val="00AC1026"/>
    <w:rsid w:val="00AD7DC8"/>
    <w:rsid w:val="00AE2ADD"/>
    <w:rsid w:val="00B138A8"/>
    <w:rsid w:val="00B72AD2"/>
    <w:rsid w:val="00B75574"/>
    <w:rsid w:val="00B83623"/>
    <w:rsid w:val="00BA1C2D"/>
    <w:rsid w:val="00BB53F4"/>
    <w:rsid w:val="00C03147"/>
    <w:rsid w:val="00C41EC0"/>
    <w:rsid w:val="00C635F4"/>
    <w:rsid w:val="00C64AE1"/>
    <w:rsid w:val="00C664C2"/>
    <w:rsid w:val="00C9355F"/>
    <w:rsid w:val="00CA381C"/>
    <w:rsid w:val="00CC4852"/>
    <w:rsid w:val="00CE1B73"/>
    <w:rsid w:val="00CF7613"/>
    <w:rsid w:val="00D13ED8"/>
    <w:rsid w:val="00D3168E"/>
    <w:rsid w:val="00D33881"/>
    <w:rsid w:val="00D51D2B"/>
    <w:rsid w:val="00D769CE"/>
    <w:rsid w:val="00D87DCF"/>
    <w:rsid w:val="00D9686A"/>
    <w:rsid w:val="00E164D1"/>
    <w:rsid w:val="00E35C5C"/>
    <w:rsid w:val="00E4078D"/>
    <w:rsid w:val="00E55CC6"/>
    <w:rsid w:val="00E5711B"/>
    <w:rsid w:val="00E67569"/>
    <w:rsid w:val="00E8073C"/>
    <w:rsid w:val="00EA6C39"/>
    <w:rsid w:val="00EB2253"/>
    <w:rsid w:val="00EC0685"/>
    <w:rsid w:val="00ED796A"/>
    <w:rsid w:val="00EF3FBE"/>
    <w:rsid w:val="00EF5279"/>
    <w:rsid w:val="00EF6060"/>
    <w:rsid w:val="00F11EB7"/>
    <w:rsid w:val="00F30EB1"/>
    <w:rsid w:val="00F33722"/>
    <w:rsid w:val="00F408DE"/>
    <w:rsid w:val="00F43C00"/>
    <w:rsid w:val="00F945DF"/>
    <w:rsid w:val="00FC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4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3C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11EF"/>
  </w:style>
  <w:style w:type="paragraph" w:styleId="a7">
    <w:name w:val="footer"/>
    <w:basedOn w:val="a"/>
    <w:link w:val="a8"/>
    <w:uiPriority w:val="99"/>
    <w:unhideWhenUsed/>
    <w:rsid w:val="001F1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11EF"/>
  </w:style>
  <w:style w:type="paragraph" w:styleId="a9">
    <w:name w:val="Balloon Text"/>
    <w:basedOn w:val="a"/>
    <w:link w:val="aa"/>
    <w:uiPriority w:val="99"/>
    <w:semiHidden/>
    <w:unhideWhenUsed/>
    <w:rsid w:val="002D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0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1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ovskoe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pw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CED37-64E7-4F59-A1F7-6F6CA373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 Сергей Александрович</dc:creator>
  <cp:lastModifiedBy>Тацков Вячеслав Валерьевич</cp:lastModifiedBy>
  <cp:revision>2</cp:revision>
  <cp:lastPrinted>2021-04-13T06:43:00Z</cp:lastPrinted>
  <dcterms:created xsi:type="dcterms:W3CDTF">2021-04-13T07:59:00Z</dcterms:created>
  <dcterms:modified xsi:type="dcterms:W3CDTF">2021-04-13T07:59:00Z</dcterms:modified>
</cp:coreProperties>
</file>